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250"/>
        <w:gridCol w:w="2430"/>
        <w:gridCol w:w="23"/>
        <w:gridCol w:w="5737"/>
      </w:tblGrid>
      <w:tr w:rsidR="00911529" w:rsidRPr="00B5466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911529" w:rsidP="00B54668">
            <w:pPr>
              <w:spacing w:line="240" w:lineRule="auto"/>
              <w:contextualSpacing/>
              <w:jc w:val="center"/>
              <w:rPr>
                <w:rFonts w:ascii="Candara" w:hAnsi="Candara"/>
                <w:b/>
                <w:sz w:val="36"/>
                <w:szCs w:val="36"/>
              </w:rPr>
            </w:pPr>
            <w:r w:rsidRPr="00B54668">
              <w:rPr>
                <w:rFonts w:ascii="Candara" w:hAnsi="Candara"/>
                <w:b/>
                <w:sz w:val="36"/>
                <w:szCs w:val="36"/>
              </w:rPr>
              <w:t>Course unit</w:t>
            </w:r>
          </w:p>
          <w:p w:rsidR="00911529" w:rsidRPr="00B54668" w:rsidRDefault="00911529" w:rsidP="00B54668">
            <w:pPr>
              <w:spacing w:line="240" w:lineRule="auto"/>
              <w:contextualSpacing/>
              <w:jc w:val="center"/>
              <w:rPr>
                <w:rFonts w:ascii="Candara" w:hAnsi="Candara"/>
                <w:b/>
                <w:sz w:val="32"/>
                <w:szCs w:val="32"/>
              </w:rPr>
            </w:pPr>
            <w:r w:rsidRPr="00B54668">
              <w:rPr>
                <w:rFonts w:ascii="Candara" w:hAnsi="Candara"/>
                <w:b/>
                <w:sz w:val="36"/>
                <w:szCs w:val="36"/>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uppressAutoHyphens w:val="0"/>
              <w:spacing w:after="200" w:line="240" w:lineRule="auto"/>
              <w:contextualSpacing/>
              <w:jc w:val="center"/>
              <w:rPr>
                <w:rFonts w:ascii="Candara" w:hAnsi="Candara"/>
                <w:b/>
                <w:color w:val="548DD4" w:themeColor="text2" w:themeTint="99"/>
                <w:sz w:val="32"/>
                <w:szCs w:val="32"/>
              </w:rPr>
            </w:pPr>
            <w:r>
              <w:rPr>
                <w:rFonts w:ascii="Candara" w:hAnsi="Candara"/>
                <w:b/>
                <w:noProof/>
                <w:color w:val="548DD4" w:themeColor="text2" w:themeTint="99"/>
                <w:sz w:val="32"/>
                <w:szCs w:val="32"/>
                <w:lang w:val="sr-Latn-RS" w:eastAsia="sr-Latn-RS"/>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9"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B54668" w:rsidRDefault="007E4FDC">
            <w:pPr>
              <w:suppressAutoHyphens w:val="0"/>
              <w:spacing w:after="200" w:line="276" w:lineRule="auto"/>
              <w:jc w:val="left"/>
              <w:rPr>
                <w:rFonts w:ascii="Candara" w:hAnsi="Candara"/>
              </w:rPr>
            </w:pPr>
            <w:r>
              <w:rPr>
                <w:rFonts w:ascii="Candara" w:hAnsi="Candara"/>
                <w:noProof/>
                <w:lang w:val="sr-Latn-RS" w:eastAsia="sr-Latn-RS"/>
              </w:rP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55245</wp:posOffset>
                      </wp:positionV>
                      <wp:extent cx="3279140" cy="86614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fg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" stroked="f">
                      <v:textbox>
                        <w:txbxContent>
                          <w:p w:rsidR="00911529" w:rsidRDefault="00911529">
                            <w:r w:rsidRPr="00783C57">
                              <w:rPr>
                                <w:noProof/>
                                <w:lang w:val="sr-Latn-RS" w:eastAsia="sr-Latn-RS"/>
                              </w:rPr>
                              <w:drawing>
                                <wp:inline distT="0" distB="0" distL="0" distR="0">
                                  <wp:extent cx="3002445" cy="524730"/>
                                  <wp:effectExtent l="19050" t="0" r="7455" b="0"/>
                                  <wp:docPr id="1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10"/>
                                          <a:stretch>
                                            <a:fillRect/>
                                          </a:stretch>
                                        </pic:blipFill>
                                        <pic:spPr>
                                          <a:xfrm>
                                            <a:off x="0" y="0"/>
                                            <a:ext cx="3004574" cy="525102"/>
                                          </a:xfrm>
                                          <a:prstGeom prst="rect">
                                            <a:avLst/>
                                          </a:prstGeom>
                                        </pic:spPr>
                                      </pic:pic>
                                    </a:graphicData>
                                  </a:graphic>
                                </wp:inline>
                              </w:drawing>
                            </w:r>
                          </w:p>
                        </w:txbxContent>
                      </v:textbox>
                    </v:shape>
                  </w:pict>
                </mc:Fallback>
              </mc:AlternateContent>
            </w:r>
          </w:p>
          <w:p w:rsidR="00911529" w:rsidRPr="00B54668" w:rsidRDefault="00911529" w:rsidP="00911529">
            <w:pPr>
              <w:jc w:val="left"/>
              <w:rPr>
                <w:rFonts w:ascii="Candara" w:hAnsi="Candara"/>
              </w:rPr>
            </w:pPr>
          </w:p>
        </w:tc>
      </w:tr>
      <w:tr w:rsidR="00911529" w:rsidRPr="00B5466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rsidP="00911529">
            <w:pPr>
              <w:spacing w:line="240" w:lineRule="auto"/>
              <w:contextualSpacing/>
              <w:jc w:val="left"/>
              <w:rPr>
                <w:rFonts w:ascii="Candara" w:hAnsi="Candara"/>
                <w:b/>
                <w:sz w:val="36"/>
                <w:szCs w:val="36"/>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B54668" w:rsidRDefault="00C60C45" w:rsidP="00C60C45">
            <w:pPr>
              <w:spacing w:line="240" w:lineRule="auto"/>
              <w:contextualSpacing/>
              <w:jc w:val="center"/>
              <w:rPr>
                <w:rFonts w:ascii="Candara" w:hAnsi="Candara"/>
                <w:noProof/>
                <w:lang w:val="en-US" w:eastAsia="zh-TW"/>
              </w:rPr>
            </w:pPr>
            <w:r w:rsidRPr="00B54668">
              <w:rPr>
                <w:rFonts w:ascii="Candara" w:hAnsi="Candara"/>
                <w:b/>
                <w:color w:val="548DD4" w:themeColor="text2" w:themeTint="99"/>
                <w:sz w:val="32"/>
                <w:szCs w:val="32"/>
              </w:rPr>
              <w:t>Faculty</w:t>
            </w:r>
            <w:r>
              <w:rPr>
                <w:rFonts w:ascii="Candara" w:hAnsi="Candara"/>
                <w:b/>
                <w:color w:val="548DD4" w:themeColor="text2" w:themeTint="99"/>
                <w:sz w:val="32"/>
                <w:szCs w:val="32"/>
              </w:rPr>
              <w:t xml:space="preserve">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B54668" w:rsidRDefault="00911529">
            <w:pPr>
              <w:suppressAutoHyphens w:val="0"/>
              <w:spacing w:after="200" w:line="276" w:lineRule="auto"/>
              <w:jc w:val="left"/>
              <w:rPr>
                <w:rFonts w:ascii="Candara" w:hAnsi="Candara"/>
              </w:rPr>
            </w:pPr>
          </w:p>
        </w:tc>
      </w:tr>
      <w:tr w:rsidR="009906EA" w:rsidRPr="00B5466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E857F8">
        <w:trPr>
          <w:trHeight w:val="562"/>
        </w:trPr>
        <w:tc>
          <w:tcPr>
            <w:tcW w:w="4680" w:type="dxa"/>
            <w:gridSpan w:val="2"/>
            <w:shd w:val="clear" w:color="auto" w:fill="auto"/>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Study program in which the course unit is offered</w:t>
            </w:r>
          </w:p>
        </w:tc>
        <w:tc>
          <w:tcPr>
            <w:tcW w:w="5760" w:type="dxa"/>
            <w:gridSpan w:val="2"/>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1071"/>
            </w:tblGrid>
            <w:tr w:rsidR="00511041" w:rsidRPr="00511041">
              <w:trPr>
                <w:trHeight w:val="120"/>
              </w:trPr>
              <w:tc>
                <w:tcPr>
                  <w:tcW w:w="0" w:type="auto"/>
                </w:tcPr>
                <w:p w:rsidR="00511041" w:rsidRPr="00511041" w:rsidRDefault="00470332" w:rsidP="00511041">
                  <w:pPr>
                    <w:pStyle w:val="Default"/>
                    <w:rPr>
                      <w:sz w:val="18"/>
                      <w:szCs w:val="18"/>
                    </w:rPr>
                  </w:pPr>
                  <w:r>
                    <w:rPr>
                      <w:b/>
                      <w:bCs/>
                      <w:sz w:val="18"/>
                      <w:szCs w:val="18"/>
                    </w:rPr>
                    <w:t>Philosophy</w:t>
                  </w:r>
                </w:p>
              </w:tc>
            </w:tr>
          </w:tbl>
          <w:p w:rsidR="00864926" w:rsidRPr="00B54668" w:rsidRDefault="00864926" w:rsidP="00E857F8">
            <w:pPr>
              <w:spacing w:line="240" w:lineRule="auto"/>
              <w:contextualSpacing/>
              <w:jc w:val="left"/>
              <w:rPr>
                <w:rFonts w:ascii="Candara" w:hAnsi="Candara"/>
                <w:b/>
                <w:color w:val="548DD4" w:themeColor="text2" w:themeTint="99"/>
                <w:sz w:val="24"/>
                <w:szCs w:val="24"/>
              </w:rPr>
            </w:pP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title</w:t>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4027"/>
            </w:tblGrid>
            <w:tr w:rsidR="00511041">
              <w:trPr>
                <w:trHeight w:val="99"/>
              </w:trPr>
              <w:tc>
                <w:tcPr>
                  <w:tcW w:w="0" w:type="auto"/>
                </w:tcPr>
                <w:p w:rsidR="00511041" w:rsidRDefault="00B03F41" w:rsidP="00511041">
                  <w:pPr>
                    <w:pStyle w:val="Default"/>
                    <w:rPr>
                      <w:sz w:val="20"/>
                      <w:szCs w:val="20"/>
                    </w:rPr>
                  </w:pPr>
                  <w:r w:rsidRPr="00304624">
                    <w:rPr>
                      <w:sz w:val="20"/>
                      <w:szCs w:val="20"/>
                    </w:rPr>
                    <w:t>The</w:t>
                  </w:r>
                  <w:r w:rsidR="005426B1" w:rsidRPr="00304624">
                    <w:rPr>
                      <w:sz w:val="20"/>
                      <w:szCs w:val="20"/>
                    </w:rPr>
                    <w:t xml:space="preserve"> Systems of the Ancient Greek philosophy</w:t>
                  </w:r>
                </w:p>
              </w:tc>
            </w:tr>
          </w:tbl>
          <w:p w:rsidR="00864926" w:rsidRPr="00B54668" w:rsidRDefault="00864926" w:rsidP="00E857F8">
            <w:pPr>
              <w:spacing w:line="240" w:lineRule="auto"/>
              <w:contextualSpacing/>
              <w:jc w:val="left"/>
              <w:rPr>
                <w:rFonts w:ascii="Candara" w:hAnsi="Candara"/>
              </w:rPr>
            </w:pP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Course unit code</w:t>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222"/>
            </w:tblGrid>
            <w:tr w:rsidR="00511041">
              <w:trPr>
                <w:trHeight w:val="99"/>
              </w:trPr>
              <w:tc>
                <w:tcPr>
                  <w:tcW w:w="0" w:type="auto"/>
                </w:tcPr>
                <w:p w:rsidR="00511041" w:rsidRDefault="00511041" w:rsidP="00511041">
                  <w:pPr>
                    <w:pStyle w:val="Default"/>
                    <w:rPr>
                      <w:sz w:val="20"/>
                      <w:szCs w:val="20"/>
                    </w:rPr>
                  </w:pPr>
                </w:p>
              </w:tc>
            </w:tr>
          </w:tbl>
          <w:p w:rsidR="00864926" w:rsidRPr="007E4FDC" w:rsidRDefault="007E4FDC" w:rsidP="00E857F8">
            <w:pPr>
              <w:spacing w:line="240" w:lineRule="auto"/>
              <w:contextualSpacing/>
              <w:jc w:val="left"/>
              <w:rPr>
                <w:rFonts w:ascii="Candara" w:hAnsi="Candara"/>
                <w:lang w:val="sr-Cyrl-RS"/>
              </w:rPr>
            </w:pPr>
            <w:r>
              <w:rPr>
                <w:rFonts w:ascii="Candara" w:hAnsi="Candara"/>
              </w:rPr>
              <w:t>15</w:t>
            </w:r>
            <w:r>
              <w:rPr>
                <w:rFonts w:ascii="Candara" w:hAnsi="Candara"/>
                <w:lang w:val="sr-Cyrl-RS"/>
              </w:rPr>
              <w:t>фм007</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Type of course unit</w:t>
            </w:r>
            <w:r w:rsidR="005B0885" w:rsidRPr="00B54668">
              <w:rPr>
                <w:rStyle w:val="FootnoteReference"/>
                <w:rFonts w:ascii="Candara" w:hAnsi="Candara"/>
              </w:rPr>
              <w:footnoteReference w:id="1"/>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222"/>
            </w:tblGrid>
            <w:tr w:rsidR="00511041">
              <w:trPr>
                <w:trHeight w:val="99"/>
              </w:trPr>
              <w:tc>
                <w:tcPr>
                  <w:tcW w:w="0" w:type="auto"/>
                </w:tcPr>
                <w:p w:rsidR="00511041" w:rsidRDefault="00511041" w:rsidP="00511041">
                  <w:pPr>
                    <w:pStyle w:val="Default"/>
                    <w:rPr>
                      <w:sz w:val="20"/>
                      <w:szCs w:val="20"/>
                    </w:rPr>
                  </w:pPr>
                </w:p>
              </w:tc>
            </w:tr>
          </w:tbl>
          <w:p w:rsidR="00864926" w:rsidRPr="00B54668" w:rsidRDefault="005426B1" w:rsidP="00E857F8">
            <w:pPr>
              <w:spacing w:line="240" w:lineRule="auto"/>
              <w:contextualSpacing/>
              <w:jc w:val="left"/>
              <w:rPr>
                <w:rFonts w:ascii="Candara" w:hAnsi="Candara"/>
              </w:rPr>
            </w:pPr>
            <w:r>
              <w:rPr>
                <w:rFonts w:ascii="Candara" w:hAnsi="Candara"/>
              </w:rPr>
              <w:t>optional</w:t>
            </w:r>
          </w:p>
        </w:tc>
      </w:tr>
      <w:tr w:rsidR="00864926" w:rsidRPr="00B54668" w:rsidTr="00E857F8">
        <w:trPr>
          <w:trHeight w:val="562"/>
        </w:trPr>
        <w:tc>
          <w:tcPr>
            <w:tcW w:w="4680" w:type="dxa"/>
            <w:gridSpan w:val="2"/>
            <w:vAlign w:val="center"/>
          </w:tcPr>
          <w:p w:rsidR="00864926" w:rsidRPr="00B54668" w:rsidRDefault="00864926" w:rsidP="00E857F8">
            <w:pPr>
              <w:spacing w:line="240" w:lineRule="auto"/>
              <w:contextualSpacing/>
              <w:jc w:val="left"/>
              <w:rPr>
                <w:rFonts w:ascii="Candara" w:hAnsi="Candara"/>
              </w:rPr>
            </w:pPr>
            <w:r w:rsidRPr="00B54668">
              <w:rPr>
                <w:rFonts w:ascii="Candara" w:hAnsi="Candara"/>
              </w:rPr>
              <w:t>Level of course un</w:t>
            </w:r>
            <w:r w:rsidR="005B0885" w:rsidRPr="00B54668">
              <w:rPr>
                <w:rFonts w:ascii="Candara" w:hAnsi="Candara"/>
              </w:rPr>
              <w:t>it</w:t>
            </w:r>
            <w:r w:rsidR="005B0885" w:rsidRPr="00B54668">
              <w:rPr>
                <w:rStyle w:val="FootnoteReference"/>
                <w:rFonts w:ascii="Candara" w:hAnsi="Candara"/>
              </w:rPr>
              <w:footnoteReference w:id="2"/>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222"/>
            </w:tblGrid>
            <w:tr w:rsidR="00511041">
              <w:trPr>
                <w:trHeight w:val="99"/>
              </w:trPr>
              <w:tc>
                <w:tcPr>
                  <w:tcW w:w="0" w:type="auto"/>
                </w:tcPr>
                <w:p w:rsidR="00511041" w:rsidRDefault="00511041" w:rsidP="00511041">
                  <w:pPr>
                    <w:pStyle w:val="Default"/>
                    <w:rPr>
                      <w:sz w:val="20"/>
                      <w:szCs w:val="20"/>
                    </w:rPr>
                  </w:pPr>
                </w:p>
              </w:tc>
            </w:tr>
          </w:tbl>
          <w:p w:rsidR="00864926" w:rsidRPr="00B54668" w:rsidRDefault="005426B1" w:rsidP="00E857F8">
            <w:pPr>
              <w:spacing w:line="240" w:lineRule="auto"/>
              <w:contextualSpacing/>
              <w:jc w:val="left"/>
              <w:rPr>
                <w:rFonts w:ascii="Candara" w:hAnsi="Candara"/>
              </w:rPr>
            </w:pPr>
            <w:r w:rsidRPr="005426B1">
              <w:rPr>
                <w:rFonts w:ascii="Candara" w:hAnsi="Candara"/>
              </w:rPr>
              <w:t>Master's</w:t>
            </w:r>
          </w:p>
        </w:tc>
      </w:tr>
      <w:tr w:rsidR="00C60C45" w:rsidRPr="00B54668" w:rsidTr="00E857F8">
        <w:trPr>
          <w:trHeight w:val="562"/>
        </w:trPr>
        <w:tc>
          <w:tcPr>
            <w:tcW w:w="4680" w:type="dxa"/>
            <w:gridSpan w:val="2"/>
            <w:vAlign w:val="center"/>
          </w:tcPr>
          <w:p w:rsidR="00C60C45" w:rsidRPr="00B54668" w:rsidRDefault="00C60C45" w:rsidP="00E857F8">
            <w:pPr>
              <w:spacing w:line="240" w:lineRule="auto"/>
              <w:contextualSpacing/>
              <w:jc w:val="left"/>
              <w:rPr>
                <w:rFonts w:ascii="Candara" w:hAnsi="Candara"/>
              </w:rPr>
            </w:pPr>
            <w:r>
              <w:rPr>
                <w:rFonts w:ascii="Candara" w:hAnsi="Candara"/>
              </w:rPr>
              <w:t>Field of Study (please see ISCED</w:t>
            </w:r>
            <w:r>
              <w:rPr>
                <w:rStyle w:val="FootnoteReference"/>
                <w:rFonts w:ascii="Candara" w:hAnsi="Candara"/>
              </w:rPr>
              <w:footnoteReference w:id="3"/>
            </w:r>
            <w:r>
              <w:rPr>
                <w:rFonts w:ascii="Candara" w:hAnsi="Candara"/>
              </w:rPr>
              <w:t>)</w:t>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222"/>
            </w:tblGrid>
            <w:tr w:rsidR="00511041">
              <w:trPr>
                <w:trHeight w:val="99"/>
              </w:trPr>
              <w:tc>
                <w:tcPr>
                  <w:tcW w:w="0" w:type="auto"/>
                </w:tcPr>
                <w:p w:rsidR="00511041" w:rsidRDefault="00511041" w:rsidP="00511041">
                  <w:pPr>
                    <w:pStyle w:val="Default"/>
                    <w:rPr>
                      <w:sz w:val="20"/>
                      <w:szCs w:val="20"/>
                    </w:rPr>
                  </w:pPr>
                </w:p>
              </w:tc>
            </w:tr>
          </w:tbl>
          <w:p w:rsidR="00C60C45" w:rsidRPr="00B54668" w:rsidRDefault="007E4FDC" w:rsidP="00E857F8">
            <w:pPr>
              <w:spacing w:line="240" w:lineRule="auto"/>
              <w:contextualSpacing/>
              <w:jc w:val="left"/>
              <w:rPr>
                <w:rFonts w:ascii="Candara" w:hAnsi="Candara"/>
              </w:rPr>
            </w:pPr>
            <w:r w:rsidRPr="007E4FDC">
              <w:rPr>
                <w:rFonts w:ascii="Candara" w:hAnsi="Candara"/>
              </w:rPr>
              <w:t>0223 Philosophy and ethics</w:t>
            </w:r>
          </w:p>
        </w:tc>
      </w:tr>
      <w:tr w:rsidR="00864926" w:rsidRPr="00B54668" w:rsidTr="00E857F8">
        <w:trPr>
          <w:trHeight w:val="562"/>
        </w:trPr>
        <w:tc>
          <w:tcPr>
            <w:tcW w:w="4680" w:type="dxa"/>
            <w:gridSpan w:val="2"/>
            <w:vAlign w:val="center"/>
          </w:tcPr>
          <w:p w:rsidR="00864926" w:rsidRPr="00B54668" w:rsidRDefault="00315601" w:rsidP="00E857F8">
            <w:pPr>
              <w:suppressAutoHyphens w:val="0"/>
              <w:spacing w:after="0" w:line="240" w:lineRule="auto"/>
              <w:contextualSpacing/>
              <w:jc w:val="left"/>
              <w:rPr>
                <w:rFonts w:ascii="Candara" w:hAnsi="Candara" w:cs="Arial"/>
                <w:lang w:val="en-US"/>
              </w:rPr>
            </w:pPr>
            <w:r>
              <w:rPr>
                <w:rFonts w:ascii="Candara" w:hAnsi="Candara"/>
              </w:rPr>
              <w:t>Semester when the course unit is</w:t>
            </w:r>
            <w:r w:rsidR="00911529" w:rsidRPr="00B54668">
              <w:rPr>
                <w:rFonts w:ascii="Candara" w:hAnsi="Candara"/>
              </w:rPr>
              <w:t xml:space="preserve"> offered</w:t>
            </w:r>
          </w:p>
        </w:tc>
        <w:tc>
          <w:tcPr>
            <w:tcW w:w="5760" w:type="dxa"/>
            <w:gridSpan w:val="2"/>
            <w:vAlign w:val="center"/>
          </w:tcPr>
          <w:tbl>
            <w:tblPr>
              <w:tblW w:w="0" w:type="auto"/>
              <w:tblBorders>
                <w:top w:val="nil"/>
                <w:left w:val="nil"/>
                <w:bottom w:val="nil"/>
                <w:right w:val="nil"/>
              </w:tblBorders>
              <w:tblLook w:val="0000" w:firstRow="0" w:lastRow="0" w:firstColumn="0" w:lastColumn="0" w:noHBand="0" w:noVBand="0"/>
            </w:tblPr>
            <w:tblGrid>
              <w:gridCol w:w="791"/>
            </w:tblGrid>
            <w:tr w:rsidR="00511041">
              <w:trPr>
                <w:trHeight w:val="99"/>
              </w:trPr>
              <w:tc>
                <w:tcPr>
                  <w:tcW w:w="0" w:type="auto"/>
                </w:tcPr>
                <w:p w:rsidR="00511041" w:rsidRDefault="005426B1" w:rsidP="00511041">
                  <w:pPr>
                    <w:pStyle w:val="Default"/>
                    <w:rPr>
                      <w:sz w:val="20"/>
                      <w:szCs w:val="20"/>
                    </w:rPr>
                  </w:pPr>
                  <w:r>
                    <w:rPr>
                      <w:sz w:val="20"/>
                      <w:szCs w:val="20"/>
                    </w:rPr>
                    <w:t>Winter</w:t>
                  </w:r>
                </w:p>
              </w:tc>
            </w:tr>
          </w:tbl>
          <w:p w:rsidR="00864926" w:rsidRPr="00B54668" w:rsidRDefault="00864926" w:rsidP="00E857F8">
            <w:pPr>
              <w:suppressAutoHyphens w:val="0"/>
              <w:spacing w:after="0" w:line="240" w:lineRule="auto"/>
              <w:contextualSpacing/>
              <w:jc w:val="left"/>
              <w:rPr>
                <w:rFonts w:ascii="Candara" w:hAnsi="Candara" w:cs="Arial"/>
                <w:lang w:val="en-US"/>
              </w:rPr>
            </w:pPr>
          </w:p>
        </w:tc>
      </w:tr>
      <w:tr w:rsidR="00864926" w:rsidRPr="00B54668" w:rsidTr="00E857F8">
        <w:trPr>
          <w:trHeight w:val="562"/>
        </w:trPr>
        <w:tc>
          <w:tcPr>
            <w:tcW w:w="4680" w:type="dxa"/>
            <w:gridSpan w:val="2"/>
            <w:tcBorders>
              <w:bottom w:val="single" w:sz="4" w:space="0" w:color="auto"/>
            </w:tcBorders>
            <w:vAlign w:val="center"/>
          </w:tcPr>
          <w:p w:rsidR="00911529" w:rsidRPr="00B54668" w:rsidRDefault="00911529" w:rsidP="00E857F8">
            <w:pPr>
              <w:spacing w:line="240" w:lineRule="auto"/>
              <w:contextualSpacing/>
              <w:jc w:val="left"/>
              <w:rPr>
                <w:rFonts w:ascii="Candara" w:hAnsi="Candara"/>
              </w:rPr>
            </w:pPr>
            <w:r w:rsidRPr="00B54668">
              <w:rPr>
                <w:rFonts w:ascii="Candara" w:hAnsi="Candara"/>
              </w:rPr>
              <w:t>Year of study (if applicable)</w:t>
            </w:r>
          </w:p>
        </w:tc>
        <w:tc>
          <w:tcPr>
            <w:tcW w:w="5760" w:type="dxa"/>
            <w:gridSpan w:val="2"/>
            <w:tcBorders>
              <w:bottom w:val="single" w:sz="4" w:space="0" w:color="auto"/>
            </w:tcBorders>
            <w:vAlign w:val="center"/>
          </w:tcPr>
          <w:p w:rsidR="00864926" w:rsidRPr="007E4FDC" w:rsidRDefault="007E4FDC" w:rsidP="00E857F8">
            <w:pPr>
              <w:spacing w:line="240" w:lineRule="auto"/>
              <w:contextualSpacing/>
              <w:jc w:val="left"/>
              <w:rPr>
                <w:rFonts w:ascii="Candara" w:hAnsi="Candara"/>
                <w:highlight w:val="yellow"/>
                <w:lang w:val="sr-Cyrl-RS"/>
              </w:rPr>
            </w:pPr>
            <w:bookmarkStart w:id="0" w:name="_GoBack"/>
            <w:bookmarkEnd w:id="0"/>
            <w:r w:rsidRPr="007E4FDC">
              <w:rPr>
                <w:rFonts w:ascii="Candara" w:hAnsi="Candara"/>
                <w:lang w:val="sr-Cyrl-RS"/>
              </w:rPr>
              <w:t>1</w:t>
            </w:r>
          </w:p>
        </w:tc>
      </w:tr>
      <w:tr w:rsidR="00A1335D" w:rsidRPr="00B54668" w:rsidTr="00E857F8">
        <w:trPr>
          <w:trHeight w:val="562"/>
        </w:trPr>
        <w:tc>
          <w:tcPr>
            <w:tcW w:w="4680" w:type="dxa"/>
            <w:gridSpan w:val="2"/>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327"/>
            </w:tblGrid>
            <w:tr w:rsidR="00511041">
              <w:trPr>
                <w:trHeight w:val="99"/>
              </w:trPr>
              <w:tc>
                <w:tcPr>
                  <w:tcW w:w="0" w:type="auto"/>
                </w:tcPr>
                <w:p w:rsidR="00511041" w:rsidRDefault="00511041" w:rsidP="00511041">
                  <w:pPr>
                    <w:pStyle w:val="Default"/>
                    <w:rPr>
                      <w:sz w:val="20"/>
                      <w:szCs w:val="20"/>
                    </w:rPr>
                  </w:pPr>
                  <w:r>
                    <w:rPr>
                      <w:sz w:val="20"/>
                      <w:szCs w:val="20"/>
                    </w:rPr>
                    <w:t xml:space="preserve">6 </w:t>
                  </w:r>
                </w:p>
              </w:tc>
            </w:tr>
          </w:tbl>
          <w:p w:rsidR="00A1335D" w:rsidRPr="00B54668" w:rsidRDefault="00A1335D" w:rsidP="00E857F8">
            <w:pPr>
              <w:spacing w:line="240" w:lineRule="auto"/>
              <w:contextualSpacing/>
              <w:jc w:val="left"/>
              <w:rPr>
                <w:rFonts w:ascii="Candara" w:hAnsi="Candara"/>
              </w:rPr>
            </w:pP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3911"/>
            </w:tblGrid>
            <w:tr w:rsidR="00511041">
              <w:trPr>
                <w:trHeight w:val="99"/>
              </w:trPr>
              <w:tc>
                <w:tcPr>
                  <w:tcW w:w="0" w:type="auto"/>
                </w:tcPr>
                <w:p w:rsidR="00511041" w:rsidRDefault="00470332" w:rsidP="00511041">
                  <w:pPr>
                    <w:pStyle w:val="Default"/>
                    <w:rPr>
                      <w:sz w:val="20"/>
                      <w:szCs w:val="20"/>
                    </w:rPr>
                  </w:pPr>
                  <w:r>
                    <w:rPr>
                      <w:sz w:val="20"/>
                      <w:szCs w:val="20"/>
                    </w:rPr>
                    <w:t xml:space="preserve">PhD </w:t>
                  </w:r>
                  <w:r w:rsidR="00511041">
                    <w:rPr>
                      <w:sz w:val="20"/>
                      <w:szCs w:val="20"/>
                    </w:rPr>
                    <w:t>Željko Kaluđerović</w:t>
                  </w:r>
                  <w:r>
                    <w:rPr>
                      <w:sz w:val="20"/>
                      <w:szCs w:val="20"/>
                    </w:rPr>
                    <w:t xml:space="preserve">, </w:t>
                  </w:r>
                  <w:r w:rsidRPr="00470332">
                    <w:rPr>
                      <w:sz w:val="20"/>
                      <w:szCs w:val="20"/>
                    </w:rPr>
                    <w:t>Associate Professor</w:t>
                  </w:r>
                </w:p>
              </w:tc>
            </w:tr>
          </w:tbl>
          <w:p w:rsidR="00E857F8" w:rsidRPr="00B54668" w:rsidRDefault="00E857F8" w:rsidP="00E857F8">
            <w:pPr>
              <w:spacing w:line="240" w:lineRule="auto"/>
              <w:contextualSpacing/>
              <w:jc w:val="left"/>
              <w:rPr>
                <w:rFonts w:ascii="Candara" w:hAnsi="Candara"/>
              </w:rPr>
            </w:pPr>
          </w:p>
        </w:tc>
      </w:tr>
      <w:tr w:rsidR="00C60C45" w:rsidRPr="00B54668" w:rsidTr="00E857F8">
        <w:trPr>
          <w:trHeight w:val="562"/>
        </w:trPr>
        <w:tc>
          <w:tcPr>
            <w:tcW w:w="4680" w:type="dxa"/>
            <w:gridSpan w:val="2"/>
            <w:tcBorders>
              <w:bottom w:val="single" w:sz="4" w:space="0" w:color="auto"/>
            </w:tcBorders>
            <w:vAlign w:val="center"/>
          </w:tcPr>
          <w:p w:rsidR="00C60C45" w:rsidRPr="00B54668" w:rsidRDefault="00C60C45" w:rsidP="00E857F8">
            <w:pPr>
              <w:spacing w:line="240" w:lineRule="auto"/>
              <w:contextualSpacing/>
              <w:jc w:val="left"/>
              <w:rPr>
                <w:rFonts w:ascii="Candara" w:hAnsi="Candara"/>
              </w:rPr>
            </w:pPr>
            <w:r>
              <w:rPr>
                <w:rFonts w:ascii="Candara" w:hAnsi="Candara"/>
              </w:rPr>
              <w:t>Name of contact person</w:t>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3229"/>
            </w:tblGrid>
            <w:tr w:rsidR="00511041">
              <w:trPr>
                <w:trHeight w:val="99"/>
              </w:trPr>
              <w:tc>
                <w:tcPr>
                  <w:tcW w:w="0" w:type="auto"/>
                </w:tcPr>
                <w:p w:rsidR="00511041" w:rsidRDefault="00470332" w:rsidP="00511041">
                  <w:pPr>
                    <w:pStyle w:val="Default"/>
                    <w:rPr>
                      <w:sz w:val="20"/>
                      <w:szCs w:val="20"/>
                    </w:rPr>
                  </w:pPr>
                  <w:r w:rsidRPr="00470332">
                    <w:rPr>
                      <w:sz w:val="20"/>
                      <w:szCs w:val="20"/>
                    </w:rPr>
                    <w:t>MA Ana Miljević, Teaching Assistant</w:t>
                  </w:r>
                </w:p>
              </w:tc>
            </w:tr>
          </w:tbl>
          <w:p w:rsidR="00C60C45" w:rsidRPr="00B54668" w:rsidRDefault="00C60C45" w:rsidP="00E857F8">
            <w:pPr>
              <w:spacing w:line="240" w:lineRule="auto"/>
              <w:contextualSpacing/>
              <w:jc w:val="left"/>
              <w:rPr>
                <w:rFonts w:ascii="Candara" w:hAnsi="Candara"/>
              </w:rPr>
            </w:pPr>
          </w:p>
        </w:tc>
      </w:tr>
      <w:tr w:rsidR="00E857F8" w:rsidRPr="00B54668" w:rsidTr="00E857F8">
        <w:trPr>
          <w:trHeight w:val="562"/>
        </w:trPr>
        <w:tc>
          <w:tcPr>
            <w:tcW w:w="4680" w:type="dxa"/>
            <w:gridSpan w:val="2"/>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Mode of course unit delivery</w:t>
            </w:r>
            <w:r w:rsidRPr="00B54668">
              <w:rPr>
                <w:rStyle w:val="FootnoteReference"/>
                <w:rFonts w:ascii="Candara" w:hAnsi="Candara"/>
              </w:rPr>
              <w:footnoteReference w:id="4"/>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1249"/>
            </w:tblGrid>
            <w:tr w:rsidR="00511041">
              <w:trPr>
                <w:trHeight w:val="99"/>
              </w:trPr>
              <w:tc>
                <w:tcPr>
                  <w:tcW w:w="0" w:type="auto"/>
                </w:tcPr>
                <w:p w:rsidR="00511041" w:rsidRDefault="00470332" w:rsidP="00511041">
                  <w:pPr>
                    <w:pStyle w:val="Default"/>
                    <w:rPr>
                      <w:sz w:val="20"/>
                      <w:szCs w:val="20"/>
                    </w:rPr>
                  </w:pPr>
                  <w:r w:rsidRPr="00470332">
                    <w:rPr>
                      <w:sz w:val="20"/>
                      <w:szCs w:val="20"/>
                    </w:rPr>
                    <w:t>Face-to-face</w:t>
                  </w:r>
                </w:p>
              </w:tc>
            </w:tr>
          </w:tbl>
          <w:p w:rsidR="00E857F8" w:rsidRPr="00B54668" w:rsidRDefault="00E857F8" w:rsidP="00E857F8">
            <w:pPr>
              <w:spacing w:line="240" w:lineRule="auto"/>
              <w:contextualSpacing/>
              <w:jc w:val="left"/>
              <w:rPr>
                <w:rFonts w:ascii="Candara" w:hAnsi="Candara"/>
              </w:rPr>
            </w:pPr>
          </w:p>
        </w:tc>
      </w:tr>
      <w:tr w:rsidR="00E857F8" w:rsidRPr="00B54668" w:rsidTr="00E857F8">
        <w:trPr>
          <w:trHeight w:val="562"/>
        </w:trPr>
        <w:tc>
          <w:tcPr>
            <w:tcW w:w="4680" w:type="dxa"/>
            <w:gridSpan w:val="2"/>
            <w:tcBorders>
              <w:bottom w:val="single" w:sz="4" w:space="0" w:color="auto"/>
            </w:tcBorders>
            <w:vAlign w:val="center"/>
          </w:tcPr>
          <w:p w:rsidR="00E857F8" w:rsidRPr="00315601" w:rsidRDefault="00E857F8" w:rsidP="00C60C45">
            <w:pPr>
              <w:spacing w:line="240" w:lineRule="auto"/>
              <w:contextualSpacing/>
              <w:jc w:val="left"/>
              <w:rPr>
                <w:rFonts w:ascii="Candara" w:hAnsi="Candara"/>
              </w:rPr>
            </w:pPr>
            <w:r w:rsidRPr="00B54668">
              <w:rPr>
                <w:rFonts w:ascii="Candara" w:hAnsi="Candara"/>
              </w:rPr>
              <w:t>Course unit pre-requisites</w:t>
            </w:r>
            <w:r w:rsidR="00315601">
              <w:rPr>
                <w:rFonts w:ascii="Candara" w:hAnsi="Candara"/>
              </w:rPr>
              <w:t xml:space="preserve"> (</w:t>
            </w:r>
            <w:r w:rsidR="00C60C45">
              <w:rPr>
                <w:rFonts w:ascii="Candara" w:hAnsi="Candara"/>
              </w:rPr>
              <w:t>e.g. level of language required, etc</w:t>
            </w:r>
            <w:r w:rsidR="00315601">
              <w:rPr>
                <w:rFonts w:ascii="Candara" w:hAnsi="Candara"/>
              </w:rPr>
              <w:t>)</w:t>
            </w:r>
          </w:p>
        </w:tc>
        <w:tc>
          <w:tcPr>
            <w:tcW w:w="5760" w:type="dxa"/>
            <w:gridSpan w:val="2"/>
            <w:tcBorders>
              <w:bottom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70"/>
            </w:tblGrid>
            <w:tr w:rsidR="00511041">
              <w:trPr>
                <w:trHeight w:val="99"/>
              </w:trPr>
              <w:tc>
                <w:tcPr>
                  <w:tcW w:w="0" w:type="auto"/>
                </w:tcPr>
                <w:p w:rsidR="00511041" w:rsidRPr="00470332" w:rsidRDefault="00470332" w:rsidP="00511041">
                  <w:pPr>
                    <w:pStyle w:val="Default"/>
                    <w:rPr>
                      <w:sz w:val="20"/>
                      <w:szCs w:val="20"/>
                    </w:rPr>
                  </w:pPr>
                  <w:r>
                    <w:rPr>
                      <w:sz w:val="20"/>
                      <w:szCs w:val="20"/>
                    </w:rPr>
                    <w:t>/</w:t>
                  </w:r>
                </w:p>
              </w:tc>
            </w:tr>
          </w:tbl>
          <w:p w:rsidR="00E857F8" w:rsidRPr="00B54668" w:rsidRDefault="00E857F8" w:rsidP="00E857F8">
            <w:pPr>
              <w:spacing w:line="240" w:lineRule="auto"/>
              <w:contextualSpacing/>
              <w:jc w:val="left"/>
              <w:rPr>
                <w:rFonts w:ascii="Candara" w:hAnsi="Candara"/>
              </w:rPr>
            </w:pP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911529" w:rsidP="00911529">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 xml:space="preserve">(max 5-10 </w:t>
            </w:r>
            <w:r w:rsidR="00315601" w:rsidRPr="00B54668">
              <w:rPr>
                <w:rFonts w:ascii="Candara" w:hAnsi="Candara"/>
                <w:b/>
              </w:rPr>
              <w:t>sentences</w:t>
            </w:r>
            <w:r w:rsidR="00B54668" w:rsidRPr="00B54668">
              <w:rPr>
                <w:rFonts w:ascii="Candara" w:hAnsi="Candara"/>
                <w:b/>
              </w:rPr>
              <w:t>)</w:t>
            </w:r>
          </w:p>
        </w:tc>
      </w:tr>
      <w:tr w:rsidR="00911529" w:rsidRPr="005C5B8C" w:rsidTr="00A96677">
        <w:trPr>
          <w:trHeight w:val="562"/>
        </w:trPr>
        <w:tc>
          <w:tcPr>
            <w:tcW w:w="10440" w:type="dxa"/>
            <w:gridSpan w:val="4"/>
            <w:vAlign w:val="center"/>
          </w:tcPr>
          <w:tbl>
            <w:tblPr>
              <w:tblW w:w="0" w:type="auto"/>
              <w:tblBorders>
                <w:top w:val="nil"/>
                <w:left w:val="nil"/>
                <w:bottom w:val="nil"/>
                <w:right w:val="nil"/>
              </w:tblBorders>
              <w:tblLook w:val="0000" w:firstRow="0" w:lastRow="0" w:firstColumn="0" w:lastColumn="0" w:noHBand="0" w:noVBand="0"/>
            </w:tblPr>
            <w:tblGrid>
              <w:gridCol w:w="10224"/>
            </w:tblGrid>
            <w:tr w:rsidR="00511041" w:rsidRPr="005C5B8C">
              <w:trPr>
                <w:trHeight w:val="587"/>
              </w:trPr>
              <w:tc>
                <w:tcPr>
                  <w:tcW w:w="0" w:type="auto"/>
                </w:tcPr>
                <w:p w:rsidR="00511041" w:rsidRDefault="00470332" w:rsidP="005C5B8C">
                  <w:pPr>
                    <w:pStyle w:val="Default"/>
                    <w:jc w:val="both"/>
                    <w:rPr>
                      <w:sz w:val="20"/>
                      <w:szCs w:val="20"/>
                    </w:rPr>
                  </w:pPr>
                  <w:r w:rsidRPr="005C5B8C">
                    <w:rPr>
                      <w:sz w:val="20"/>
                      <w:szCs w:val="20"/>
                      <w:lang w:val="en-US"/>
                    </w:rPr>
                    <w:t>A concept of the subject „</w:t>
                  </w:r>
                  <w:r w:rsidR="00B03F41" w:rsidRPr="00304624">
                    <w:rPr>
                      <w:sz w:val="20"/>
                      <w:szCs w:val="20"/>
                      <w:lang w:val="en-US"/>
                    </w:rPr>
                    <w:t>The</w:t>
                  </w:r>
                  <w:r w:rsidR="009C2F80" w:rsidRPr="00304624">
                    <w:rPr>
                      <w:sz w:val="20"/>
                      <w:szCs w:val="20"/>
                      <w:lang w:val="en-US"/>
                    </w:rPr>
                    <w:t xml:space="preserve"> Systems of ancient Greek philosophy</w:t>
                  </w:r>
                  <w:r w:rsidRPr="005C5B8C">
                    <w:rPr>
                      <w:sz w:val="20"/>
                      <w:szCs w:val="20"/>
                      <w:lang w:val="en-US"/>
                    </w:rPr>
                    <w:t>“</w:t>
                  </w:r>
                  <w:r w:rsidR="00304624">
                    <w:rPr>
                      <w:sz w:val="20"/>
                      <w:szCs w:val="20"/>
                      <w:lang w:val="en-US"/>
                    </w:rPr>
                    <w:t xml:space="preserve"> </w:t>
                  </w:r>
                  <w:r w:rsidRPr="005C5B8C">
                    <w:rPr>
                      <w:sz w:val="20"/>
                      <w:szCs w:val="20"/>
                      <w:lang w:val="en-US"/>
                    </w:rPr>
                    <w:t xml:space="preserve">is formed in order to offer to the students of </w:t>
                  </w:r>
                  <w:r w:rsidR="005C5B8C" w:rsidRPr="005C5B8C">
                    <w:rPr>
                      <w:sz w:val="20"/>
                      <w:szCs w:val="20"/>
                      <w:lang w:val="en-US"/>
                    </w:rPr>
                    <w:t>bachelor</w:t>
                  </w:r>
                  <w:r w:rsidRPr="005C5B8C">
                    <w:rPr>
                      <w:sz w:val="20"/>
                      <w:szCs w:val="20"/>
                      <w:lang w:val="en-US"/>
                    </w:rPr>
                    <w:t xml:space="preserve"> studies of </w:t>
                  </w:r>
                  <w:r w:rsidR="005C5B8C" w:rsidRPr="005C5B8C">
                    <w:rPr>
                      <w:sz w:val="20"/>
                      <w:szCs w:val="20"/>
                      <w:lang w:val="en-US"/>
                    </w:rPr>
                    <w:t>philosophy</w:t>
                  </w:r>
                  <w:r w:rsidRPr="005C5B8C">
                    <w:rPr>
                      <w:sz w:val="20"/>
                      <w:szCs w:val="20"/>
                      <w:lang w:val="en-US"/>
                    </w:rPr>
                    <w:t xml:space="preserve"> a possibility</w:t>
                  </w:r>
                  <w:r w:rsidR="005C5B8C" w:rsidRPr="005C5B8C">
                    <w:rPr>
                      <w:sz w:val="20"/>
                      <w:szCs w:val="20"/>
                      <w:lang w:val="en-US"/>
                    </w:rPr>
                    <w:t xml:space="preserve"> of the observation relevant</w:t>
                  </w:r>
                  <w:r w:rsidR="005C5B8C">
                    <w:rPr>
                      <w:sz w:val="20"/>
                      <w:szCs w:val="20"/>
                      <w:lang w:val="en-US"/>
                    </w:rPr>
                    <w:t xml:space="preserve"> philosophical concepts in the field of ancient philosophy. This deep research will enable a more fundamental overmastering of doctrines of certain philosophers as well as a specialization for conception, problematic and term</w:t>
                  </w:r>
                  <w:r w:rsidR="005C5B8C" w:rsidRPr="005C5B8C">
                    <w:rPr>
                      <w:sz w:val="20"/>
                      <w:szCs w:val="20"/>
                      <w:lang w:val="en-US"/>
                    </w:rPr>
                    <w:t>-</w:t>
                  </w:r>
                  <w:r w:rsidR="005C5B8C">
                    <w:rPr>
                      <w:sz w:val="20"/>
                      <w:szCs w:val="20"/>
                      <w:lang w:val="en-US"/>
                    </w:rPr>
                    <w:t>category approaches of main ancient philosophical systems. A detailed study of the certain philosophers’ doctrines will facilitates a student’s choice of a topic and approach t</w:t>
                  </w:r>
                  <w:r w:rsidR="00304624">
                    <w:rPr>
                      <w:sz w:val="20"/>
                      <w:szCs w:val="20"/>
                      <w:lang w:val="en-US"/>
                    </w:rPr>
                    <w:t>o making of</w:t>
                  </w:r>
                  <w:r w:rsidR="005C5B8C">
                    <w:rPr>
                      <w:sz w:val="20"/>
                      <w:szCs w:val="20"/>
                      <w:lang w:val="en-US"/>
                    </w:rPr>
                    <w:t xml:space="preserve"> the master thesis</w:t>
                  </w:r>
                  <w:r w:rsidR="00511041">
                    <w:rPr>
                      <w:sz w:val="20"/>
                      <w:szCs w:val="20"/>
                    </w:rPr>
                    <w:t>.</w:t>
                  </w:r>
                </w:p>
              </w:tc>
            </w:tr>
          </w:tbl>
          <w:p w:rsidR="00911529" w:rsidRPr="005C5B8C" w:rsidRDefault="00911529" w:rsidP="00911529">
            <w:pPr>
              <w:spacing w:line="240" w:lineRule="auto"/>
              <w:contextualSpacing/>
              <w:jc w:val="left"/>
              <w:rPr>
                <w:rFonts w:ascii="Candara" w:hAnsi="Candara"/>
              </w:rPr>
            </w:pPr>
          </w:p>
        </w:tc>
      </w:tr>
      <w:tr w:rsidR="00911529" w:rsidRPr="00B54668" w:rsidTr="00E857F8">
        <w:trPr>
          <w:trHeight w:val="562"/>
        </w:trPr>
        <w:tc>
          <w:tcPr>
            <w:tcW w:w="10440" w:type="dxa"/>
            <w:gridSpan w:val="4"/>
            <w:shd w:val="clear" w:color="auto" w:fill="B8CCE4" w:themeFill="accent1" w:themeFillTint="66"/>
            <w:vAlign w:val="center"/>
          </w:tcPr>
          <w:p w:rsidR="00911529" w:rsidRPr="00B54668" w:rsidRDefault="00E857F8" w:rsidP="00911529">
            <w:pPr>
              <w:spacing w:line="240" w:lineRule="auto"/>
              <w:contextualSpacing/>
              <w:jc w:val="left"/>
              <w:rPr>
                <w:rFonts w:ascii="Candara" w:hAnsi="Candara"/>
                <w:b/>
              </w:rPr>
            </w:pPr>
            <w:r w:rsidRPr="00B54668">
              <w:rPr>
                <w:rFonts w:ascii="Candara" w:hAnsi="Candara"/>
                <w:b/>
              </w:rPr>
              <w:lastRenderedPageBreak/>
              <w:t>LEARNING OUTCOMES</w:t>
            </w:r>
            <w:r w:rsidR="00315601">
              <w:rPr>
                <w:rFonts w:ascii="Candara" w:hAnsi="Candara"/>
                <w:b/>
              </w:rPr>
              <w:t xml:space="preserve"> (knowledge and skills)</w:t>
            </w:r>
          </w:p>
        </w:tc>
      </w:tr>
      <w:tr w:rsidR="00E857F8" w:rsidRPr="00B54668" w:rsidTr="00E857F8">
        <w:trPr>
          <w:trHeight w:val="562"/>
        </w:trPr>
        <w:tc>
          <w:tcPr>
            <w:tcW w:w="10440" w:type="dxa"/>
            <w:gridSpan w:val="4"/>
            <w:shd w:val="clear" w:color="auto" w:fill="auto"/>
            <w:vAlign w:val="center"/>
          </w:tcPr>
          <w:p w:rsidR="00E857F8" w:rsidRPr="009C2F80" w:rsidRDefault="009C2F80" w:rsidP="009C2F80">
            <w:pPr>
              <w:pStyle w:val="Default"/>
              <w:jc w:val="both"/>
              <w:rPr>
                <w:b/>
              </w:rPr>
            </w:pPr>
            <w:r>
              <w:rPr>
                <w:sz w:val="20"/>
                <w:szCs w:val="20"/>
                <w:lang w:val="en-US"/>
              </w:rPr>
              <w:t>One of the learning outcomes will be a deep involvement in a topic of a specific main ancient philosophical system through the interpretation key of modern thought paradigms. Another learning outcome will be acquiring of skills for deeper dialogue between ancient and modern way of thinking. Finally, the students will obtain an insight in the dialogue limits between ancient and contemporary world.</w:t>
            </w:r>
          </w:p>
        </w:tc>
      </w:tr>
      <w:tr w:rsidR="00E857F8" w:rsidRPr="00B54668" w:rsidTr="00E857F8">
        <w:trPr>
          <w:trHeight w:val="562"/>
        </w:trPr>
        <w:tc>
          <w:tcPr>
            <w:tcW w:w="10440" w:type="dxa"/>
            <w:gridSpan w:val="4"/>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(outline and summary of topics)</w:t>
            </w:r>
          </w:p>
        </w:tc>
      </w:tr>
      <w:tr w:rsidR="00B54668" w:rsidRPr="004F3A98" w:rsidTr="00B54668">
        <w:trPr>
          <w:trHeight w:val="562"/>
        </w:trPr>
        <w:tc>
          <w:tcPr>
            <w:tcW w:w="10440" w:type="dxa"/>
            <w:gridSpan w:val="4"/>
            <w:shd w:val="clear" w:color="auto" w:fill="auto"/>
            <w:vAlign w:val="center"/>
          </w:tcPr>
          <w:p w:rsidR="00511041" w:rsidRPr="004F3A98" w:rsidRDefault="004F3A98" w:rsidP="004674F1">
            <w:pPr>
              <w:pStyle w:val="Default"/>
              <w:jc w:val="both"/>
              <w:rPr>
                <w:sz w:val="20"/>
                <w:szCs w:val="20"/>
              </w:rPr>
            </w:pPr>
            <w:r w:rsidRPr="004F3A98">
              <w:rPr>
                <w:sz w:val="20"/>
                <w:szCs w:val="20"/>
                <w:lang w:val="en-US"/>
              </w:rPr>
              <w:t>Lectures</w:t>
            </w:r>
            <w:r w:rsidR="00511041" w:rsidRPr="004F3A98">
              <w:rPr>
                <w:sz w:val="20"/>
                <w:szCs w:val="20"/>
                <w:lang w:val="en-US"/>
              </w:rPr>
              <w:t xml:space="preserve"> </w:t>
            </w:r>
          </w:p>
          <w:p w:rsidR="004F3A98" w:rsidRDefault="004F3A98" w:rsidP="004674F1">
            <w:pPr>
              <w:pStyle w:val="Default"/>
              <w:jc w:val="both"/>
              <w:rPr>
                <w:sz w:val="20"/>
                <w:szCs w:val="20"/>
              </w:rPr>
            </w:pPr>
            <w:r>
              <w:rPr>
                <w:sz w:val="20"/>
                <w:szCs w:val="20"/>
                <w:lang w:val="en-US"/>
              </w:rPr>
              <w:t>The character of the subject</w:t>
            </w:r>
            <w:r w:rsidR="00511041" w:rsidRPr="004F3A98">
              <w:rPr>
                <w:sz w:val="20"/>
                <w:szCs w:val="20"/>
                <w:lang w:val="en-US"/>
              </w:rPr>
              <w:t xml:space="preserve"> „</w:t>
            </w:r>
            <w:r w:rsidRPr="00304624">
              <w:rPr>
                <w:sz w:val="20"/>
                <w:szCs w:val="20"/>
                <w:lang w:val="en-US"/>
              </w:rPr>
              <w:t>The Systems of ancient Greek philosophy</w:t>
            </w:r>
            <w:r w:rsidR="00511041" w:rsidRPr="004F3A98">
              <w:rPr>
                <w:sz w:val="20"/>
                <w:szCs w:val="20"/>
                <w:lang w:val="en-US"/>
              </w:rPr>
              <w:t>“</w:t>
            </w:r>
            <w:r w:rsidR="00304624">
              <w:rPr>
                <w:sz w:val="20"/>
                <w:szCs w:val="20"/>
                <w:lang w:val="en-US"/>
              </w:rPr>
              <w:t xml:space="preserve"> </w:t>
            </w:r>
            <w:r>
              <w:rPr>
                <w:sz w:val="20"/>
                <w:szCs w:val="20"/>
                <w:lang w:val="en-US"/>
              </w:rPr>
              <w:t xml:space="preserve">determines a possible choice to study philosophical concept of one of the most important philosophers. Above all, there are Plato and Aristotle. Particular study of the two mentioned philosophers includes: a) a study of complete philosophical works of the chosen philosopher; b) a study of important philosophical and thought relations of the chosen philosopher with the near </w:t>
            </w:r>
            <w:r w:rsidR="0087379B">
              <w:rPr>
                <w:sz w:val="20"/>
                <w:szCs w:val="20"/>
                <w:lang w:val="en-US"/>
              </w:rPr>
              <w:t>discussion</w:t>
            </w:r>
            <w:r>
              <w:rPr>
                <w:sz w:val="20"/>
                <w:szCs w:val="20"/>
                <w:lang w:val="en-US"/>
              </w:rPr>
              <w:t xml:space="preserve"> and polemic field in philosophy; c) a study of the secondary literature about the chosen philosophers.</w:t>
            </w:r>
          </w:p>
          <w:p w:rsidR="0087379B" w:rsidRDefault="0087379B" w:rsidP="004674F1">
            <w:pPr>
              <w:pStyle w:val="Default"/>
              <w:jc w:val="both"/>
              <w:rPr>
                <w:sz w:val="20"/>
                <w:szCs w:val="20"/>
              </w:rPr>
            </w:pPr>
            <w:r>
              <w:rPr>
                <w:sz w:val="20"/>
                <w:szCs w:val="20"/>
                <w:lang w:val="en-US"/>
              </w:rPr>
              <w:t>Seminar</w:t>
            </w:r>
          </w:p>
          <w:p w:rsidR="00B54668" w:rsidRPr="0087379B" w:rsidRDefault="0087379B" w:rsidP="0087379B">
            <w:pPr>
              <w:pStyle w:val="Default"/>
              <w:jc w:val="both"/>
              <w:rPr>
                <w:sz w:val="20"/>
                <w:szCs w:val="20"/>
              </w:rPr>
            </w:pPr>
            <w:r>
              <w:rPr>
                <w:sz w:val="20"/>
                <w:szCs w:val="20"/>
                <w:lang w:val="en-US"/>
              </w:rPr>
              <w:t>The analysis of the original philosophical texts.</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spacing w:after="0" w:line="240" w:lineRule="auto"/>
              <w:contextualSpacing/>
              <w:jc w:val="left"/>
              <w:rPr>
                <w:rFonts w:ascii="Candara" w:hAnsi="Candara"/>
              </w:rPr>
            </w:pPr>
            <w:r w:rsidRPr="00B54668">
              <w:rPr>
                <w:rFonts w:ascii="Candara" w:hAnsi="Candara"/>
                <w:b/>
              </w:rPr>
              <w:t>LEARNING AND TEACHING (</w:t>
            </w:r>
            <w:r w:rsidRPr="00B54668">
              <w:rPr>
                <w:rFonts w:ascii="Candara" w:hAnsi="Candara"/>
              </w:rPr>
              <w:t xml:space="preserve">planned learning activities and teaching methods) </w:t>
            </w:r>
          </w:p>
        </w:tc>
      </w:tr>
      <w:tr w:rsidR="00B54668" w:rsidRPr="00B54668" w:rsidTr="00B54668">
        <w:trPr>
          <w:trHeight w:val="562"/>
        </w:trPr>
        <w:tc>
          <w:tcPr>
            <w:tcW w:w="10440" w:type="dxa"/>
            <w:gridSpan w:val="4"/>
            <w:shd w:val="clear" w:color="auto" w:fill="auto"/>
            <w:vAlign w:val="center"/>
          </w:tcPr>
          <w:p w:rsidR="00B54668" w:rsidRPr="0087379B" w:rsidRDefault="0087379B" w:rsidP="00511041">
            <w:pPr>
              <w:pStyle w:val="Default"/>
              <w:rPr>
                <w:sz w:val="20"/>
                <w:szCs w:val="20"/>
              </w:rPr>
            </w:pPr>
            <w:r w:rsidRPr="0087379B">
              <w:rPr>
                <w:sz w:val="20"/>
                <w:szCs w:val="20"/>
                <w:lang w:val="en-US"/>
              </w:rPr>
              <w:t xml:space="preserve">Dialogical and research methods for understanding of the chosen philosopher’s philosophical systems. </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B54668">
            <w:pPr>
              <w:tabs>
                <w:tab w:val="left" w:pos="360"/>
              </w:tabs>
              <w:spacing w:after="0" w:line="240" w:lineRule="auto"/>
              <w:contextualSpacing/>
              <w:jc w:val="left"/>
              <w:rPr>
                <w:rFonts w:ascii="Candara" w:hAnsi="Candara"/>
                <w:b/>
              </w:rPr>
            </w:pPr>
            <w:r w:rsidRPr="00B54668">
              <w:rPr>
                <w:rFonts w:ascii="Candara" w:hAnsi="Candara"/>
                <w:b/>
              </w:rPr>
              <w:t>REQUIRED READING</w:t>
            </w:r>
          </w:p>
        </w:tc>
      </w:tr>
      <w:tr w:rsidR="00B54668" w:rsidRPr="00B54668" w:rsidTr="00B54668">
        <w:trPr>
          <w:trHeight w:val="562"/>
        </w:trPr>
        <w:tc>
          <w:tcPr>
            <w:tcW w:w="10440" w:type="dxa"/>
            <w:gridSpan w:val="4"/>
            <w:shd w:val="clear" w:color="auto" w:fill="auto"/>
            <w:vAlign w:val="center"/>
          </w:tcPr>
          <w:p w:rsidR="00836A35" w:rsidRDefault="00836A35" w:rsidP="009F5E75">
            <w:pPr>
              <w:pStyle w:val="Default"/>
              <w:jc w:val="both"/>
              <w:rPr>
                <w:sz w:val="20"/>
                <w:szCs w:val="20"/>
              </w:rPr>
            </w:pPr>
            <w:r>
              <w:rPr>
                <w:sz w:val="20"/>
                <w:szCs w:val="20"/>
              </w:rPr>
              <w:t xml:space="preserve">4. </w:t>
            </w:r>
            <w:r w:rsidRPr="00836A35">
              <w:rPr>
                <w:sz w:val="20"/>
                <w:szCs w:val="20"/>
                <w:lang w:val="en-GB"/>
              </w:rPr>
              <w:t xml:space="preserve">Kraut, R., (ed.), </w:t>
            </w:r>
            <w:r w:rsidRPr="00836A35">
              <w:rPr>
                <w:i/>
                <w:sz w:val="20"/>
                <w:szCs w:val="20"/>
                <w:lang w:val="en-GB"/>
              </w:rPr>
              <w:t>The Cambridge Companion to Plato</w:t>
            </w:r>
            <w:r w:rsidRPr="00836A35">
              <w:rPr>
                <w:sz w:val="20"/>
                <w:szCs w:val="20"/>
                <w:lang w:val="en-GB"/>
              </w:rPr>
              <w:t>, New York 2006.</w:t>
            </w:r>
          </w:p>
          <w:p w:rsidR="00836A35" w:rsidRDefault="00836A35" w:rsidP="009F5E75">
            <w:pPr>
              <w:pStyle w:val="Default"/>
              <w:jc w:val="both"/>
              <w:rPr>
                <w:sz w:val="20"/>
                <w:szCs w:val="20"/>
                <w:lang w:val="en-GB"/>
              </w:rPr>
            </w:pPr>
            <w:r>
              <w:rPr>
                <w:sz w:val="20"/>
                <w:szCs w:val="20"/>
              </w:rPr>
              <w:t xml:space="preserve">5. </w:t>
            </w:r>
            <w:r w:rsidRPr="00836A35">
              <w:rPr>
                <w:sz w:val="20"/>
                <w:szCs w:val="20"/>
                <w:lang w:val="en-GB"/>
              </w:rPr>
              <w:t xml:space="preserve">Hamilton, E., Cairns, H., (ed.), </w:t>
            </w:r>
            <w:r w:rsidRPr="00836A35">
              <w:rPr>
                <w:i/>
                <w:sz w:val="20"/>
                <w:szCs w:val="20"/>
                <w:lang w:val="en-GB"/>
              </w:rPr>
              <w:t>The Collected Dialogues of Plato</w:t>
            </w:r>
            <w:r w:rsidRPr="00836A35">
              <w:rPr>
                <w:sz w:val="20"/>
                <w:szCs w:val="20"/>
                <w:lang w:val="en-GB"/>
              </w:rPr>
              <w:t>, Princeton 1989.</w:t>
            </w:r>
          </w:p>
          <w:p w:rsidR="00836A35" w:rsidRPr="007E4FDC" w:rsidRDefault="00836A35" w:rsidP="009F5E75">
            <w:pPr>
              <w:pStyle w:val="Default"/>
              <w:jc w:val="both"/>
              <w:rPr>
                <w:sz w:val="20"/>
                <w:szCs w:val="20"/>
                <w:lang w:val="de-DE"/>
              </w:rPr>
            </w:pPr>
            <w:r w:rsidRPr="005C5B8C">
              <w:rPr>
                <w:sz w:val="20"/>
                <w:szCs w:val="20"/>
                <w:lang w:val="de-DE"/>
              </w:rPr>
              <w:t xml:space="preserve">6. Jaeger, W., </w:t>
            </w:r>
            <w:r w:rsidRPr="00836A35">
              <w:rPr>
                <w:i/>
                <w:sz w:val="20"/>
                <w:szCs w:val="20"/>
                <w:lang w:val="de-DE"/>
              </w:rPr>
              <w:t>Aristoteles Grundlegung einer Geschichte seiner Entwicklung</w:t>
            </w:r>
            <w:r w:rsidRPr="005C5B8C">
              <w:rPr>
                <w:sz w:val="20"/>
                <w:szCs w:val="20"/>
                <w:lang w:val="de-DE"/>
              </w:rPr>
              <w:t>, Weidmann 1985.</w:t>
            </w:r>
          </w:p>
          <w:p w:rsidR="00836A35" w:rsidRPr="00836A35" w:rsidRDefault="00836A35" w:rsidP="009F5E75">
            <w:pPr>
              <w:pStyle w:val="Default"/>
              <w:jc w:val="both"/>
              <w:rPr>
                <w:sz w:val="20"/>
                <w:szCs w:val="20"/>
                <w:lang w:val="en-GB"/>
              </w:rPr>
            </w:pPr>
            <w:r>
              <w:rPr>
                <w:sz w:val="20"/>
                <w:szCs w:val="20"/>
                <w:lang w:val="en-GB"/>
              </w:rPr>
              <w:t>7</w:t>
            </w:r>
            <w:r w:rsidRPr="00836A35">
              <w:rPr>
                <w:sz w:val="20"/>
                <w:szCs w:val="20"/>
                <w:lang w:val="en-GB"/>
              </w:rPr>
              <w:t xml:space="preserve">. Anagnostopoulos, G., (ed.), </w:t>
            </w:r>
            <w:r w:rsidRPr="00836A35">
              <w:rPr>
                <w:i/>
                <w:sz w:val="20"/>
                <w:szCs w:val="20"/>
                <w:lang w:val="en-GB"/>
              </w:rPr>
              <w:t>A Companion to Aristotle</w:t>
            </w:r>
            <w:r w:rsidR="00BB7DED">
              <w:rPr>
                <w:sz w:val="20"/>
                <w:szCs w:val="20"/>
                <w:lang w:val="en-GB"/>
              </w:rPr>
              <w:t>, Oxford 2009.</w:t>
            </w:r>
          </w:p>
          <w:p w:rsidR="00B54668" w:rsidRPr="00B54668" w:rsidRDefault="00836A35" w:rsidP="009F5E75">
            <w:pPr>
              <w:pStyle w:val="Default"/>
              <w:jc w:val="both"/>
              <w:rPr>
                <w:b/>
              </w:rPr>
            </w:pPr>
            <w:r>
              <w:rPr>
                <w:sz w:val="20"/>
                <w:szCs w:val="20"/>
                <w:lang w:val="en-GB"/>
              </w:rPr>
              <w:t>8</w:t>
            </w:r>
            <w:r w:rsidRPr="00836A35">
              <w:rPr>
                <w:sz w:val="20"/>
                <w:szCs w:val="20"/>
                <w:lang w:val="en-GB"/>
              </w:rPr>
              <w:t xml:space="preserve">. Barnes, J., </w:t>
            </w:r>
            <w:r w:rsidRPr="00836A35">
              <w:rPr>
                <w:i/>
                <w:sz w:val="20"/>
                <w:szCs w:val="20"/>
                <w:lang w:val="en-GB"/>
              </w:rPr>
              <w:t>The Complete Works of Aristotle I-II</w:t>
            </w:r>
            <w:r>
              <w:rPr>
                <w:sz w:val="20"/>
                <w:szCs w:val="20"/>
                <w:lang w:val="en-GB"/>
              </w:rPr>
              <w:t>, Princeton 1991.</w:t>
            </w:r>
          </w:p>
        </w:tc>
      </w:tr>
      <w:tr w:rsidR="00B54668" w:rsidRPr="00B54668" w:rsidTr="00B54668">
        <w:trPr>
          <w:trHeight w:val="562"/>
        </w:trPr>
        <w:tc>
          <w:tcPr>
            <w:tcW w:w="10440" w:type="dxa"/>
            <w:gridSpan w:val="4"/>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B54668" w:rsidRPr="00B54668" w:rsidTr="00B54668">
        <w:trPr>
          <w:trHeight w:val="562"/>
        </w:trPr>
        <w:tc>
          <w:tcPr>
            <w:tcW w:w="10440" w:type="dxa"/>
            <w:gridSpan w:val="4"/>
            <w:shd w:val="clear" w:color="auto" w:fill="auto"/>
            <w:vAlign w:val="center"/>
          </w:tcPr>
          <w:p w:rsidR="00B54668" w:rsidRDefault="00217D8D" w:rsidP="00836A35">
            <w:pPr>
              <w:pStyle w:val="Default"/>
              <w:rPr>
                <w:b/>
              </w:rPr>
            </w:pPr>
            <w:r w:rsidRPr="00217D8D">
              <w:rPr>
                <w:b/>
              </w:rPr>
              <w:t>Oral exam</w:t>
            </w:r>
          </w:p>
        </w:tc>
      </w:tr>
      <w:tr w:rsidR="00B54668" w:rsidRPr="00B54668" w:rsidTr="00B54668">
        <w:trPr>
          <w:trHeight w:val="562"/>
        </w:trPr>
        <w:tc>
          <w:tcPr>
            <w:tcW w:w="10440" w:type="dxa"/>
            <w:gridSpan w:val="4"/>
            <w:shd w:val="clear" w:color="auto" w:fill="B8CCE4" w:themeFill="accent1" w:themeFillTint="66"/>
            <w:vAlign w:val="center"/>
          </w:tcPr>
          <w:p w:rsidR="00B54668" w:rsidRDefault="00B54668" w:rsidP="00E857F8">
            <w:pPr>
              <w:tabs>
                <w:tab w:val="left" w:pos="360"/>
              </w:tabs>
              <w:spacing w:after="0" w:line="240" w:lineRule="auto"/>
              <w:jc w:val="left"/>
              <w:rPr>
                <w:rFonts w:ascii="Candara" w:hAnsi="Candara"/>
                <w:b/>
              </w:rPr>
            </w:pPr>
            <w:r>
              <w:rPr>
                <w:rFonts w:ascii="Candara" w:hAnsi="Candara"/>
                <w:b/>
              </w:rPr>
              <w:t>LANGUAGE OF INSTRUCTION</w:t>
            </w:r>
          </w:p>
        </w:tc>
      </w:tr>
      <w:tr w:rsidR="00B54668" w:rsidRPr="00B54668" w:rsidTr="00B54668">
        <w:trPr>
          <w:trHeight w:val="562"/>
        </w:trPr>
        <w:tc>
          <w:tcPr>
            <w:tcW w:w="10440" w:type="dxa"/>
            <w:gridSpan w:val="4"/>
            <w:shd w:val="clear" w:color="auto" w:fill="auto"/>
            <w:vAlign w:val="center"/>
          </w:tcPr>
          <w:p w:rsidR="00B54668" w:rsidRDefault="00217D8D" w:rsidP="00836A35">
            <w:pPr>
              <w:pStyle w:val="Default"/>
              <w:rPr>
                <w:b/>
              </w:rPr>
            </w:pPr>
            <w:r>
              <w:rPr>
                <w:sz w:val="20"/>
                <w:szCs w:val="20"/>
              </w:rPr>
              <w:t xml:space="preserve">English </w:t>
            </w:r>
          </w:p>
        </w:tc>
      </w:tr>
    </w:tbl>
    <w:p w:rsidR="00E60599" w:rsidRPr="00836A35" w:rsidRDefault="00E60599" w:rsidP="00836A35">
      <w:pPr>
        <w:ind w:left="1089"/>
        <w:rPr>
          <w:sz w:val="2"/>
          <w:szCs w:val="2"/>
        </w:rPr>
      </w:pPr>
    </w:p>
    <w:sectPr w:rsidR="00E60599" w:rsidRPr="00836A35"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0E" w:rsidRDefault="006F220E" w:rsidP="00864926">
      <w:pPr>
        <w:spacing w:after="0" w:line="240" w:lineRule="auto"/>
      </w:pPr>
      <w:r>
        <w:separator/>
      </w:r>
    </w:p>
  </w:endnote>
  <w:endnote w:type="continuationSeparator" w:id="0">
    <w:p w:rsidR="006F220E" w:rsidRDefault="006F220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0E" w:rsidRDefault="006F220E" w:rsidP="00864926">
      <w:pPr>
        <w:spacing w:after="0" w:line="240" w:lineRule="auto"/>
      </w:pPr>
      <w:r>
        <w:separator/>
      </w:r>
    </w:p>
  </w:footnote>
  <w:footnote w:type="continuationSeparator" w:id="0">
    <w:p w:rsidR="006F220E" w:rsidRDefault="006F220E"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w:t>
      </w:r>
      <w:r w:rsidR="00911529" w:rsidRPr="00E857F8">
        <w:rPr>
          <w:rFonts w:asciiTheme="minorHAnsi" w:hAnsiTheme="minorHAnsi"/>
          <w:sz w:val="18"/>
          <w:szCs w:val="18"/>
        </w:rPr>
        <w:t xml:space="preserve"> (Bachelor, Master's, Doctoral)</w:t>
      </w:r>
    </w:p>
  </w:footnote>
  <w:footnote w:id="3">
    <w:p w:rsidR="00C60C45" w:rsidRPr="00C60C45" w:rsidRDefault="00C60C45">
      <w:pPr>
        <w:pStyle w:val="FootnoteText"/>
        <w:rPr>
          <w:sz w:val="16"/>
          <w:szCs w:val="16"/>
          <w:lang w:val="en-US"/>
        </w:rPr>
      </w:pPr>
      <w:r>
        <w:rPr>
          <w:rStyle w:val="FootnoteReference"/>
        </w:rPr>
        <w:footnoteRef/>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Pr>
          <w:rFonts w:asciiTheme="minorHAnsi" w:hAnsiTheme="minorHAnsi"/>
          <w:sz w:val="18"/>
          <w:szCs w:val="18"/>
        </w:rPr>
        <w:t>Face-to-face, distance learning,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17125"/>
    <w:rsid w:val="00046ACB"/>
    <w:rsid w:val="00082C56"/>
    <w:rsid w:val="000F6001"/>
    <w:rsid w:val="001D64D3"/>
    <w:rsid w:val="00217D8D"/>
    <w:rsid w:val="002319B6"/>
    <w:rsid w:val="002E1614"/>
    <w:rsid w:val="00304624"/>
    <w:rsid w:val="00315601"/>
    <w:rsid w:val="00323176"/>
    <w:rsid w:val="003A5E98"/>
    <w:rsid w:val="00431EFA"/>
    <w:rsid w:val="004674F1"/>
    <w:rsid w:val="00470332"/>
    <w:rsid w:val="004D1C7E"/>
    <w:rsid w:val="004E0E5F"/>
    <w:rsid w:val="004F3A98"/>
    <w:rsid w:val="00511041"/>
    <w:rsid w:val="005426B1"/>
    <w:rsid w:val="005B0885"/>
    <w:rsid w:val="005C5B8C"/>
    <w:rsid w:val="005E5E0F"/>
    <w:rsid w:val="006F220E"/>
    <w:rsid w:val="00783C57"/>
    <w:rsid w:val="007E4FDC"/>
    <w:rsid w:val="00836A35"/>
    <w:rsid w:val="00864926"/>
    <w:rsid w:val="0087379B"/>
    <w:rsid w:val="00873B84"/>
    <w:rsid w:val="00880F36"/>
    <w:rsid w:val="008F7207"/>
    <w:rsid w:val="00907A6C"/>
    <w:rsid w:val="00911529"/>
    <w:rsid w:val="0093346B"/>
    <w:rsid w:val="009906EA"/>
    <w:rsid w:val="009B5BBF"/>
    <w:rsid w:val="009C2F80"/>
    <w:rsid w:val="009D3AC4"/>
    <w:rsid w:val="009F5E75"/>
    <w:rsid w:val="00A10286"/>
    <w:rsid w:val="00A1335D"/>
    <w:rsid w:val="00A40B78"/>
    <w:rsid w:val="00B03F41"/>
    <w:rsid w:val="00B54668"/>
    <w:rsid w:val="00BB7DED"/>
    <w:rsid w:val="00C1507B"/>
    <w:rsid w:val="00C60C45"/>
    <w:rsid w:val="00C90691"/>
    <w:rsid w:val="00D40BA3"/>
    <w:rsid w:val="00D42466"/>
    <w:rsid w:val="00DB43CC"/>
    <w:rsid w:val="00E60599"/>
    <w:rsid w:val="00E71A0B"/>
    <w:rsid w:val="00E73ABF"/>
    <w:rsid w:val="00E857F8"/>
    <w:rsid w:val="00EC53EE"/>
    <w:rsid w:val="00F06AFA"/>
    <w:rsid w:val="00F21000"/>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customStyle="1" w:styleId="Default">
    <w:name w:val="Default"/>
    <w:rsid w:val="00511041"/>
    <w:pPr>
      <w:autoSpaceDE w:val="0"/>
      <w:autoSpaceDN w:val="0"/>
      <w:adjustRightInd w:val="0"/>
      <w:spacing w:after="0" w:line="240" w:lineRule="auto"/>
    </w:pPr>
    <w:rPr>
      <w:rFonts w:ascii="Candara" w:hAnsi="Candara" w:cs="Candara"/>
      <w:color w:val="000000"/>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paragraph" w:customStyle="1" w:styleId="Default">
    <w:name w:val="Default"/>
    <w:rsid w:val="00511041"/>
    <w:pPr>
      <w:autoSpaceDE w:val="0"/>
      <w:autoSpaceDN w:val="0"/>
      <w:adjustRightInd w:val="0"/>
      <w:spacing w:after="0" w:line="240" w:lineRule="auto"/>
    </w:pPr>
    <w:rPr>
      <w:rFonts w:ascii="Candara" w:hAnsi="Candara" w:cs="Candara"/>
      <w:color w:val="000000"/>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CF263-1424-4860-93C0-1555047D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FILOZOFSKI SISTEMI ANTIKE</vt:lpstr>
    </vt:vector>
  </TitlesOfParts>
  <Company>PMF</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FILOZOFSKI SISTEMI ANTIKE</dc:title>
  <dc:creator>ivana</dc:creator>
  <cp:lastModifiedBy>una</cp:lastModifiedBy>
  <cp:revision>2</cp:revision>
  <cp:lastPrinted>2015-12-23T11:47:00Z</cp:lastPrinted>
  <dcterms:created xsi:type="dcterms:W3CDTF">2018-06-13T12:08:00Z</dcterms:created>
  <dcterms:modified xsi:type="dcterms:W3CDTF">2018-06-13T12:08:00Z</dcterms:modified>
</cp:coreProperties>
</file>